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CD5" w:rsidRPr="00EB5CD1" w:rsidRDefault="001A5CD5" w:rsidP="00EB5CD1">
      <w:pPr>
        <w:widowControl w:val="0"/>
        <w:tabs>
          <w:tab w:val="left" w:pos="1866"/>
          <w:tab w:val="center" w:pos="4844"/>
        </w:tabs>
        <w:jc w:val="center"/>
        <w:rPr>
          <w:rFonts w:ascii="Times New Roman" w:hAnsi="Times New Roman" w:cs="Times New Roman"/>
          <w:bCs/>
        </w:rPr>
      </w:pPr>
      <w:r w:rsidRPr="00EB5CD1">
        <w:rPr>
          <w:rFonts w:ascii="Times New Roman" w:hAnsi="Times New Roman" w:cs="Times New Roman"/>
          <w:bCs/>
        </w:rPr>
        <w:t>Министерство науки и высшего образования РФ</w:t>
      </w:r>
    </w:p>
    <w:p w:rsidR="001A5CD5" w:rsidRPr="00EB5CD1" w:rsidRDefault="001A5CD5" w:rsidP="00EB5CD1">
      <w:pPr>
        <w:widowControl w:val="0"/>
        <w:jc w:val="center"/>
        <w:rPr>
          <w:rFonts w:ascii="Times New Roman" w:hAnsi="Times New Roman" w:cs="Times New Roman"/>
          <w:bCs/>
        </w:rPr>
      </w:pPr>
      <w:r w:rsidRPr="00EB5CD1">
        <w:rPr>
          <w:rFonts w:ascii="Times New Roman" w:hAnsi="Times New Roman" w:cs="Times New Roman"/>
          <w:bCs/>
        </w:rPr>
        <w:t xml:space="preserve">Федеральное государственное автономное образовательное учреждение </w:t>
      </w:r>
    </w:p>
    <w:p w:rsidR="001A5CD5" w:rsidRPr="00EB5CD1" w:rsidRDefault="001A5CD5" w:rsidP="00EB5CD1">
      <w:pPr>
        <w:widowControl w:val="0"/>
        <w:jc w:val="center"/>
        <w:rPr>
          <w:rFonts w:ascii="Times New Roman" w:hAnsi="Times New Roman" w:cs="Times New Roman"/>
          <w:bCs/>
        </w:rPr>
      </w:pPr>
      <w:r w:rsidRPr="00EB5CD1">
        <w:rPr>
          <w:rFonts w:ascii="Times New Roman" w:hAnsi="Times New Roman" w:cs="Times New Roman"/>
          <w:bCs/>
        </w:rPr>
        <w:t>высшего образования</w:t>
      </w:r>
    </w:p>
    <w:p w:rsidR="001A5CD5" w:rsidRPr="00EB5CD1" w:rsidRDefault="001A5CD5" w:rsidP="00EB5CD1">
      <w:pPr>
        <w:widowControl w:val="0"/>
        <w:jc w:val="center"/>
        <w:rPr>
          <w:rFonts w:ascii="Times New Roman" w:hAnsi="Times New Roman" w:cs="Times New Roman"/>
          <w:b/>
          <w:bCs/>
        </w:rPr>
      </w:pPr>
      <w:r w:rsidRPr="00EB5CD1">
        <w:rPr>
          <w:rFonts w:ascii="Times New Roman" w:hAnsi="Times New Roman" w:cs="Times New Roman"/>
          <w:b/>
          <w:bCs/>
        </w:rPr>
        <w:t>«СИБИРСКИЙ ФЕДЕРАЛЬНЫЙ УНИВЕРСИТЕТ»</w:t>
      </w:r>
    </w:p>
    <w:p w:rsidR="001A5CD5" w:rsidRPr="00EB5CD1" w:rsidRDefault="001A5CD5" w:rsidP="00EB5CD1">
      <w:pPr>
        <w:widowControl w:val="0"/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8789"/>
        </w:tabs>
        <w:jc w:val="center"/>
        <w:rPr>
          <w:rFonts w:ascii="Times New Roman" w:hAnsi="Times New Roman" w:cs="Times New Roman"/>
          <w:b/>
          <w:i/>
          <w:caps/>
        </w:rPr>
      </w:pPr>
    </w:p>
    <w:p w:rsidR="001A5CD5" w:rsidRPr="00EB5CD1" w:rsidRDefault="001A5CD5" w:rsidP="00EB5CD1">
      <w:pPr>
        <w:widowControl w:val="0"/>
        <w:jc w:val="center"/>
        <w:rPr>
          <w:rFonts w:ascii="Times New Roman" w:hAnsi="Times New Roman" w:cs="Times New Roman"/>
          <w:b/>
          <w:caps/>
        </w:rPr>
      </w:pPr>
    </w:p>
    <w:p w:rsidR="001A5CD5" w:rsidRPr="00EB5CD1" w:rsidRDefault="001A5CD5" w:rsidP="00EB5CD1">
      <w:pPr>
        <w:widowControl w:val="0"/>
        <w:rPr>
          <w:rFonts w:ascii="Times New Roman" w:hAnsi="Times New Roman" w:cs="Times New Roman"/>
          <w:b/>
          <w:caps/>
        </w:rPr>
      </w:pPr>
    </w:p>
    <w:p w:rsidR="001A5CD5" w:rsidRPr="00EB5CD1" w:rsidRDefault="001A5CD5" w:rsidP="00EB5CD1">
      <w:pPr>
        <w:widowControl w:val="0"/>
        <w:jc w:val="center"/>
        <w:rPr>
          <w:rFonts w:ascii="Times New Roman" w:hAnsi="Times New Roman" w:cs="Times New Roman"/>
          <w:b/>
          <w:caps/>
        </w:rPr>
      </w:pPr>
      <w:r w:rsidRPr="00EB5CD1">
        <w:rPr>
          <w:rFonts w:ascii="Times New Roman" w:hAnsi="Times New Roman" w:cs="Times New Roman"/>
          <w:b/>
          <w:caps/>
        </w:rPr>
        <w:t xml:space="preserve">КОМПЛЕКТ ИЗМЕРИТЕЛЬНЫХ МАТЕРИАЛОВ </w:t>
      </w:r>
    </w:p>
    <w:p w:rsidR="001A5CD5" w:rsidRPr="00EB5CD1" w:rsidRDefault="001A5CD5" w:rsidP="00EB5CD1">
      <w:pPr>
        <w:widowControl w:val="0"/>
        <w:jc w:val="center"/>
        <w:rPr>
          <w:rFonts w:ascii="Times New Roman" w:hAnsi="Times New Roman" w:cs="Times New Roman"/>
          <w:b/>
          <w:caps/>
        </w:rPr>
      </w:pPr>
      <w:r w:rsidRPr="00EB5CD1">
        <w:rPr>
          <w:rFonts w:ascii="Times New Roman" w:hAnsi="Times New Roman" w:cs="Times New Roman"/>
          <w:b/>
          <w:caps/>
        </w:rPr>
        <w:t>ПО ДИСЦИПЛИНЕ (МОДУЛЮ) / ПРАКТИКЕ</w:t>
      </w:r>
    </w:p>
    <w:p w:rsidR="001A5CD5" w:rsidRPr="00EB5CD1" w:rsidRDefault="001A5CD5" w:rsidP="00EB5CD1">
      <w:pPr>
        <w:widowControl w:val="0"/>
        <w:jc w:val="center"/>
        <w:rPr>
          <w:rFonts w:ascii="Times New Roman" w:hAnsi="Times New Roman" w:cs="Times New Roman"/>
          <w:b/>
          <w:caps/>
        </w:rPr>
      </w:pPr>
    </w:p>
    <w:p w:rsidR="001A5CD5" w:rsidRPr="00EB5CD1" w:rsidRDefault="001A5CD5" w:rsidP="00EB5CD1">
      <w:pPr>
        <w:widowControl w:val="0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1A5CD5" w:rsidRPr="00EB5CD1" w:rsidRDefault="001A5CD5" w:rsidP="00EB5CD1">
      <w:pPr>
        <w:widowControl w:val="0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B5CD1">
        <w:rPr>
          <w:rFonts w:ascii="Times New Roman" w:hAnsi="Times New Roman" w:cs="Times New Roman"/>
          <w:b/>
          <w:color w:val="000000"/>
          <w:u w:val="single"/>
        </w:rPr>
        <w:t>Б</w:t>
      </w:r>
      <w:proofErr w:type="gramStart"/>
      <w:r w:rsidRPr="00EB5CD1">
        <w:rPr>
          <w:rFonts w:ascii="Times New Roman" w:hAnsi="Times New Roman" w:cs="Times New Roman"/>
          <w:b/>
          <w:color w:val="000000"/>
          <w:u w:val="single"/>
        </w:rPr>
        <w:t>1</w:t>
      </w:r>
      <w:proofErr w:type="gramEnd"/>
      <w:r w:rsidRPr="00EB5CD1">
        <w:rPr>
          <w:rFonts w:ascii="Times New Roman" w:hAnsi="Times New Roman" w:cs="Times New Roman"/>
          <w:b/>
          <w:color w:val="000000"/>
          <w:u w:val="single"/>
        </w:rPr>
        <w:t>.О.02 Цифровые платформы и экосистемы в сервисной деятельности</w:t>
      </w:r>
    </w:p>
    <w:p w:rsidR="001A5CD5" w:rsidRPr="00EB5CD1" w:rsidRDefault="001A5CD5" w:rsidP="00EB5CD1">
      <w:pPr>
        <w:widowControl w:val="0"/>
        <w:tabs>
          <w:tab w:val="left" w:pos="142"/>
        </w:tabs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142"/>
        </w:tabs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142"/>
        </w:tabs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tabs>
          <w:tab w:val="left" w:pos="142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A5CD5" w:rsidRPr="00EB5CD1" w:rsidTr="006953EF">
        <w:tc>
          <w:tcPr>
            <w:tcW w:w="4672" w:type="dxa"/>
            <w:hideMark/>
          </w:tcPr>
          <w:p w:rsidR="001A5CD5" w:rsidRPr="00EB5CD1" w:rsidRDefault="001A5CD5" w:rsidP="00EB5CD1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EB5CD1">
              <w:rPr>
                <w:rFonts w:ascii="Times New Roman" w:eastAsia="Times New Roman" w:hAnsi="Times New Roman" w:cs="Times New Roman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1A5CD5" w:rsidRPr="00EB5CD1" w:rsidRDefault="001A5CD5" w:rsidP="00EB5CD1">
            <w:pPr>
              <w:widowControl w:val="0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B5CD1"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1A5CD5" w:rsidRPr="00EB5CD1" w:rsidRDefault="001A5CD5" w:rsidP="00EB5CD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A5CD5" w:rsidRPr="00EB5CD1" w:rsidTr="006953EF">
        <w:tc>
          <w:tcPr>
            <w:tcW w:w="4672" w:type="dxa"/>
          </w:tcPr>
          <w:p w:rsidR="001A5CD5" w:rsidRPr="00EB5CD1" w:rsidRDefault="001A5CD5" w:rsidP="00EB5CD1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1A5CD5" w:rsidRPr="00EB5CD1" w:rsidRDefault="001A5CD5" w:rsidP="00EB5CD1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EB5CD1">
              <w:rPr>
                <w:rFonts w:ascii="Times New Roman" w:eastAsia="Times New Roman" w:hAnsi="Times New Roman" w:cs="Times New Roman"/>
                <w:lang w:eastAsia="en-US"/>
              </w:rPr>
              <w:t>Направление подготовки/специальность</w:t>
            </w:r>
          </w:p>
          <w:p w:rsidR="001A5CD5" w:rsidRPr="00EB5CD1" w:rsidRDefault="001A5CD5" w:rsidP="00EB5CD1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673" w:type="dxa"/>
          </w:tcPr>
          <w:p w:rsidR="001A5CD5" w:rsidRPr="00EB5CD1" w:rsidRDefault="001A5CD5" w:rsidP="00EB5CD1">
            <w:pPr>
              <w:widowControl w:val="0"/>
              <w:jc w:val="both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1A5CD5" w:rsidRPr="00EB5CD1" w:rsidRDefault="001A5CD5" w:rsidP="00EB5CD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B5CD1"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43.04.01 Сервис</w:t>
            </w:r>
            <w:r w:rsidRPr="00EB5CD1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  <w:p w:rsidR="001A5CD5" w:rsidRPr="00EB5CD1" w:rsidRDefault="001A5CD5" w:rsidP="00EB5CD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1A5CD5" w:rsidRPr="00EB5CD1" w:rsidRDefault="001A5CD5" w:rsidP="00EB5CD1">
      <w:pPr>
        <w:widowControl w:val="0"/>
        <w:rPr>
          <w:rFonts w:ascii="Times New Roman" w:hAnsi="Times New Roman" w:cs="Times New Roman"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002CD" w:rsidRDefault="001002CD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002CD" w:rsidRDefault="001002CD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002CD" w:rsidRDefault="001002CD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002CD" w:rsidRDefault="001002CD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002CD" w:rsidRDefault="001002CD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002CD" w:rsidRDefault="001002CD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002CD" w:rsidRPr="00EB5CD1" w:rsidRDefault="001002CD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A5CD5" w:rsidRPr="00EB5CD1" w:rsidRDefault="001A5CD5" w:rsidP="00EB5CD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B5CD1">
        <w:rPr>
          <w:rFonts w:ascii="Times New Roman" w:eastAsia="Times New Roman" w:hAnsi="Times New Roman" w:cs="Times New Roman"/>
          <w:bCs/>
        </w:rPr>
        <w:t xml:space="preserve">Красноярск </w:t>
      </w:r>
      <w:r w:rsidRPr="00EB5CD1">
        <w:rPr>
          <w:rFonts w:ascii="Times New Roman" w:eastAsia="Times New Roman" w:hAnsi="Times New Roman" w:cs="Times New Roman"/>
        </w:rPr>
        <w:t>2025</w:t>
      </w:r>
      <w:r w:rsidRPr="00EB5CD1">
        <w:rPr>
          <w:rFonts w:ascii="Times New Roman" w:hAnsi="Times New Roman" w:cs="Times New Roman"/>
          <w:b/>
        </w:rPr>
        <w:br w:type="page"/>
      </w:r>
    </w:p>
    <w:p w:rsidR="001A5CD5" w:rsidRPr="00EB5CD1" w:rsidRDefault="001A5CD5" w:rsidP="00EB5CD1">
      <w:pPr>
        <w:widowControl w:val="0"/>
        <w:rPr>
          <w:rFonts w:ascii="Times New Roman" w:hAnsi="Times New Roman" w:cs="Times New Roman"/>
        </w:rPr>
        <w:sectPr w:rsidR="001A5CD5" w:rsidRPr="00EB5CD1">
          <w:pgSz w:w="11906" w:h="16838"/>
          <w:pgMar w:top="851" w:right="851" w:bottom="851" w:left="1418" w:header="708" w:footer="708" w:gutter="0"/>
          <w:cols w:space="720"/>
        </w:sectPr>
      </w:pPr>
    </w:p>
    <w:p w:rsidR="001A5CD5" w:rsidRPr="00EB5CD1" w:rsidRDefault="001A5CD5" w:rsidP="00EB5CD1">
      <w:pPr>
        <w:widowControl w:val="0"/>
        <w:jc w:val="both"/>
        <w:rPr>
          <w:rFonts w:ascii="Times New Roman" w:hAnsi="Times New Roman" w:cs="Times New Roman"/>
        </w:rPr>
      </w:pPr>
    </w:p>
    <w:tbl>
      <w:tblPr>
        <w:tblStyle w:val="a3"/>
        <w:tblW w:w="5166" w:type="pct"/>
        <w:tblLayout w:type="fixed"/>
        <w:tblLook w:val="04A0"/>
      </w:tblPr>
      <w:tblGrid>
        <w:gridCol w:w="815"/>
        <w:gridCol w:w="2970"/>
        <w:gridCol w:w="9078"/>
        <w:gridCol w:w="2414"/>
      </w:tblGrid>
      <w:tr w:rsidR="001A5CD5" w:rsidRPr="00160EA7" w:rsidTr="00EA095E">
        <w:tc>
          <w:tcPr>
            <w:tcW w:w="267" w:type="pct"/>
            <w:hideMark/>
          </w:tcPr>
          <w:p w:rsidR="001A5CD5" w:rsidRPr="00160EA7" w:rsidRDefault="00EA095E" w:rsidP="00EB5CD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972" w:type="pct"/>
            <w:hideMark/>
          </w:tcPr>
          <w:p w:rsidR="001A5CD5" w:rsidRPr="00160EA7" w:rsidRDefault="00EA095E" w:rsidP="00EB5CD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компетенции</w:t>
            </w:r>
          </w:p>
        </w:tc>
        <w:tc>
          <w:tcPr>
            <w:tcW w:w="2971" w:type="pct"/>
            <w:hideMark/>
          </w:tcPr>
          <w:p w:rsidR="001A5CD5" w:rsidRPr="00160EA7" w:rsidRDefault="001A5CD5" w:rsidP="00EB5CD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790" w:type="pct"/>
            <w:hideMark/>
          </w:tcPr>
          <w:p w:rsidR="001A5CD5" w:rsidRPr="00160EA7" w:rsidRDefault="001A5CD5" w:rsidP="00EB5CD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EA095E" w:rsidRPr="00160EA7" w:rsidTr="00EA095E">
        <w:tc>
          <w:tcPr>
            <w:tcW w:w="267" w:type="pct"/>
            <w:vMerge w:val="restart"/>
            <w:hideMark/>
          </w:tcPr>
          <w:p w:rsidR="00EA095E" w:rsidRPr="00160EA7" w:rsidRDefault="00EA095E" w:rsidP="00EB5CD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pct"/>
            <w:vMerge w:val="restart"/>
            <w:hideMark/>
          </w:tcPr>
          <w:p w:rsidR="00EA095E" w:rsidRPr="00160EA7" w:rsidRDefault="00EA095E" w:rsidP="004C2BE4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ПК-1: </w:t>
            </w:r>
            <w:proofErr w:type="gramStart"/>
            <w:r w:rsidRPr="00160E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160E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разрабатывать, внедрять и управлять внедрением инновационных технологий и информационно-коммуникативных инноваций для обеспечения конкурентоспособности предприятий в сервисной деятельности</w:t>
            </w:r>
          </w:p>
        </w:tc>
        <w:tc>
          <w:tcPr>
            <w:tcW w:w="2971" w:type="pct"/>
            <w:hideMark/>
          </w:tcPr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последовательность.</w:t>
            </w:r>
          </w:p>
          <w:p w:rsidR="00EA095E" w:rsidRPr="00160EA7" w:rsidRDefault="00EA095E" w:rsidP="00EB5CD1">
            <w:pPr>
              <w:widowControl w:val="0"/>
              <w:shd w:val="clear" w:color="auto" w:fill="FCFCFC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Выбор методов исследования для предприятий сервисной деятельности зависит от конкретных целей и задач исследования, а также от специфики самого предприятия. 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Установите правильную последовательность этапов управления сервисной деятельностью.</w:t>
            </w:r>
          </w:p>
          <w:p w:rsidR="00EA095E" w:rsidRPr="00160EA7" w:rsidRDefault="00EA095E" w:rsidP="00EB5CD1">
            <w:pPr>
              <w:widowControl w:val="0"/>
              <w:shd w:val="clear" w:color="auto" w:fill="FCFCFC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160EA7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анализ специфики предприятия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095E" w:rsidRPr="00160EA7" w:rsidRDefault="00EA095E" w:rsidP="00EB5CD1">
            <w:pPr>
              <w:widowControl w:val="0"/>
              <w:shd w:val="clear" w:color="auto" w:fill="FCFCFC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160EA7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определение целей исследования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095E" w:rsidRPr="00160EA7" w:rsidRDefault="00EA095E" w:rsidP="00EB5CD1">
            <w:pPr>
              <w:widowControl w:val="0"/>
              <w:shd w:val="clear" w:color="auto" w:fill="FCFCFC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160EA7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выбор методов на основе целей и специфики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095E" w:rsidRPr="00160EA7" w:rsidRDefault="00EA095E" w:rsidP="00EB5CD1">
            <w:pPr>
              <w:widowControl w:val="0"/>
              <w:shd w:val="clear" w:color="auto" w:fill="FCFCFC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160EA7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учет ресурсов и времени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A095E" w:rsidRPr="00160EA7" w:rsidRDefault="00EA095E" w:rsidP="00EB5CD1">
            <w:pPr>
              <w:widowControl w:val="0"/>
              <w:shd w:val="clear" w:color="auto" w:fill="FCFCFC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160EA7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комбинирование методов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" w:type="pct"/>
            <w:hideMark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21"/>
              <w:gridCol w:w="343"/>
              <w:gridCol w:w="363"/>
              <w:gridCol w:w="371"/>
              <w:gridCol w:w="283"/>
            </w:tblGrid>
            <w:tr w:rsidR="00EA095E" w:rsidRPr="00160EA7" w:rsidTr="006953EF">
              <w:trPr>
                <w:trHeight w:val="58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95E" w:rsidRPr="00160EA7" w:rsidTr="00EA095E">
        <w:tc>
          <w:tcPr>
            <w:tcW w:w="267" w:type="pct"/>
            <w:vMerge/>
            <w:vAlign w:val="center"/>
            <w:hideMark/>
          </w:tcPr>
          <w:p w:rsidR="00EA095E" w:rsidRPr="00160EA7" w:rsidRDefault="00EA095E" w:rsidP="00EB5CD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2" w:type="pct"/>
            <w:vMerge/>
            <w:vAlign w:val="center"/>
            <w:hideMark/>
          </w:tcPr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1" w:type="pct"/>
          </w:tcPr>
          <w:p w:rsidR="00EA095E" w:rsidRPr="00160EA7" w:rsidRDefault="00EA095E" w:rsidP="002B0DF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2. Прочитайте текст и установите соответствие.</w:t>
            </w:r>
          </w:p>
          <w:p w:rsidR="00EA095E" w:rsidRPr="00160EA7" w:rsidRDefault="00EA095E" w:rsidP="002B0DF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Оценка качества сервиса является ключевым элементом для понимания, насколько хорошо предприятие удовлетворяет потребности своих клиентов. Для этого используются различные метрики и методы, позволяющие всесторонне оценить уровень обслуживания. 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Сопоставьте описание с метриками </w:t>
            </w: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>позволяющими оценить уровень обслуживания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257" w:type="dxa"/>
              <w:tblLayout w:type="fixed"/>
              <w:tblLook w:val="04A0"/>
            </w:tblPr>
            <w:tblGrid>
              <w:gridCol w:w="5847"/>
              <w:gridCol w:w="2410"/>
            </w:tblGrid>
            <w:tr w:rsidR="00EA095E" w:rsidRPr="00160EA7" w:rsidTr="002B0DF5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Описание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Метрики</w:t>
                  </w:r>
                </w:p>
              </w:tc>
            </w:tr>
            <w:tr w:rsidR="00EA095E" w:rsidRPr="00160EA7" w:rsidTr="002B0DF5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Показатель удовлетворенности клиентов, измеряющий, насколько клиенты довольны продуктами или услугами компании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1.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/>
                    </w:rPr>
                    <w:t>Net Promoter Score (NPS)</w:t>
                  </w:r>
                </w:p>
              </w:tc>
            </w:tr>
            <w:tr w:rsidR="00EA095E" w:rsidRPr="00160EA7" w:rsidTr="002B0DF5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Показатель готовности клиентов рекомендовать продукты или услуги компании своим знакомым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/>
                    </w:rPr>
                    <w:t>Customer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/>
                    </w:rPr>
                    <w:t>Satisfaction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/>
                    </w:rPr>
                    <w:t>Score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(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/>
                    </w:rPr>
                    <w:t>CSS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  <w:tr w:rsidR="00EA095E" w:rsidRPr="00160EA7" w:rsidTr="002B0DF5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Время, которое клиент тратит на ожидание ответа или обслуживания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Время ожидания</w:t>
                  </w:r>
                </w:p>
              </w:tc>
            </w:tr>
            <w:tr w:rsidR="00EA095E" w:rsidRPr="00160EA7" w:rsidTr="002B0DF5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Время, необходимое для обработки и выполнения запросов клиентов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Скорость обработки запросов</w:t>
                  </w:r>
                </w:p>
              </w:tc>
            </w:tr>
            <w:tr w:rsidR="00EA095E" w:rsidRPr="00160EA7" w:rsidTr="002B0DF5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Уровень удовлетворенности клиентов</w:t>
                  </w:r>
                </w:p>
              </w:tc>
            </w:tr>
          </w:tbl>
          <w:p w:rsidR="00EA095E" w:rsidRPr="00160EA7" w:rsidRDefault="00EA095E" w:rsidP="002B0DF5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66"/>
              <w:gridCol w:w="344"/>
            </w:tblGrid>
            <w:tr w:rsidR="00EA095E" w:rsidRPr="00160EA7" w:rsidTr="002B0DF5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EA095E" w:rsidRPr="00160EA7" w:rsidTr="002B0DF5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2B0DF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EA095E" w:rsidRPr="00160EA7" w:rsidRDefault="00EA095E" w:rsidP="002B0DF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95E" w:rsidRPr="00160EA7" w:rsidTr="00EA095E">
        <w:trPr>
          <w:trHeight w:val="1833"/>
        </w:trPr>
        <w:tc>
          <w:tcPr>
            <w:tcW w:w="267" w:type="pct"/>
            <w:vMerge/>
            <w:vAlign w:val="center"/>
            <w:hideMark/>
          </w:tcPr>
          <w:p w:rsidR="00EA095E" w:rsidRPr="00160EA7" w:rsidRDefault="00EA095E" w:rsidP="00EB5CD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2" w:type="pct"/>
            <w:vMerge w:val="restart"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1" w:type="pct"/>
          </w:tcPr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установите соответствие.</w:t>
            </w:r>
          </w:p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Оценка и исследование факторов конкурентоспособности предприятий в сфере сервисных услуг предусматривает применение различных методов и подходов. Эти методы помогают выявить сильные и слабые стороны компании, а также определить возможности для улучшения и угрозы со стороны конкурентов. </w:t>
            </w:r>
          </w:p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Сопоставьте возможность применения с методами </w:t>
            </w: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>оценки и исследования факторов конкурентоспособности предприятий в сфере сервисных услуг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115" w:type="dxa"/>
              <w:tblLayout w:type="fixed"/>
              <w:tblLook w:val="04A0"/>
            </w:tblPr>
            <w:tblGrid>
              <w:gridCol w:w="5847"/>
              <w:gridCol w:w="2268"/>
            </w:tblGrid>
            <w:tr w:rsidR="00EA095E" w:rsidRPr="00160EA7" w:rsidTr="00254B7B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Возможность применения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Методы</w:t>
                  </w:r>
                </w:p>
              </w:tc>
            </w:tr>
            <w:tr w:rsidR="00EA095E" w:rsidRPr="00160EA7" w:rsidTr="00254B7B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Оценка внутренних факторов с учетом среднерыночного состояния для конкретной ситуации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pStyle w:val="a6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160EA7">
                    <w:rPr>
                      <w:rStyle w:val="a5"/>
                      <w:rFonts w:ascii="Times New Roman" w:eastAsia="Arial Unicode MS" w:hAnsi="Times New Roman" w:cs="Times New Roman"/>
                      <w:b w:val="0"/>
                      <w:sz w:val="28"/>
                      <w:szCs w:val="28"/>
                    </w:rPr>
                    <w:t>SWW-анализ</w:t>
                  </w:r>
                </w:p>
              </w:tc>
            </w:tr>
            <w:tr w:rsidR="00EA095E" w:rsidRPr="00160EA7" w:rsidTr="00254B7B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Определение сравнительного положения товара компании по отношению к ключевым конкурентам по различным параметрам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pStyle w:val="a6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160EA7">
                    <w:rPr>
                      <w:rStyle w:val="a5"/>
                      <w:rFonts w:ascii="Times New Roman" w:eastAsia="Arial Unicode MS" w:hAnsi="Times New Roman" w:cs="Times New Roman"/>
                      <w:b w:val="0"/>
                      <w:sz w:val="28"/>
                      <w:szCs w:val="28"/>
                    </w:rPr>
                    <w:t>Многоугольник конкурентоспособности</w:t>
                  </w:r>
                </w:p>
              </w:tc>
            </w:tr>
            <w:tr w:rsidR="00EA095E" w:rsidRPr="00160EA7" w:rsidTr="00254B7B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Оценка конкурентоспособности на основе матр</w:t>
                  </w: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ицы, где на горизонтальной оси -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темпы</w:t>
                  </w: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роста продаж, на вертикальной -</w:t>
                  </w: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доля на рынке</w:t>
                  </w:r>
                  <w:proofErr w:type="gram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pStyle w:val="a6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160EA7">
                    <w:rPr>
                      <w:rStyle w:val="a5"/>
                      <w:rFonts w:ascii="Times New Roman" w:eastAsia="Arial Unicode MS" w:hAnsi="Times New Roman" w:cs="Times New Roman"/>
                      <w:b w:val="0"/>
                      <w:sz w:val="28"/>
                      <w:szCs w:val="28"/>
                    </w:rPr>
                    <w:t>Матричный метод</w:t>
                  </w:r>
                </w:p>
              </w:tc>
            </w:tr>
            <w:tr w:rsidR="00EA095E" w:rsidRPr="00160EA7" w:rsidTr="00254B7B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proofErr w:type="spellStart"/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Дельфи</w:t>
                  </w:r>
                  <w:proofErr w:type="spellEnd"/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, снежный ком, дерево целей, комиссии круглого стола, эвристическое прогнозирование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pStyle w:val="a6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160EA7">
                    <w:rPr>
                      <w:rStyle w:val="a5"/>
                      <w:rFonts w:ascii="Times New Roman" w:eastAsia="Arial Unicode MS" w:hAnsi="Times New Roman" w:cs="Times New Roman"/>
                      <w:b w:val="0"/>
                      <w:sz w:val="28"/>
                      <w:szCs w:val="28"/>
                    </w:rPr>
                    <w:t>Метод экспертных оценок</w:t>
                  </w:r>
                </w:p>
              </w:tc>
            </w:tr>
            <w:tr w:rsidR="00EA095E" w:rsidRPr="00160EA7" w:rsidTr="00254B7B">
              <w:tc>
                <w:tcPr>
                  <w:tcW w:w="5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pStyle w:val="a6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5. Метод «тайного покупателя»</w:t>
                  </w:r>
                </w:p>
              </w:tc>
            </w:tr>
          </w:tbl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66"/>
              <w:gridCol w:w="344"/>
            </w:tblGrid>
            <w:tr w:rsidR="00EA095E" w:rsidRPr="00160EA7" w:rsidTr="006953E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EA095E" w:rsidRPr="00160EA7" w:rsidTr="006953EF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EB5C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95E" w:rsidRPr="00160EA7" w:rsidTr="00EA095E">
        <w:trPr>
          <w:trHeight w:val="263"/>
        </w:trPr>
        <w:tc>
          <w:tcPr>
            <w:tcW w:w="267" w:type="pct"/>
            <w:vMerge/>
            <w:vAlign w:val="center"/>
            <w:hideMark/>
          </w:tcPr>
          <w:p w:rsidR="00EA095E" w:rsidRPr="00160EA7" w:rsidRDefault="00EA095E" w:rsidP="00EB5CD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2" w:type="pct"/>
            <w:vMerge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1" w:type="pct"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4. На основании исходных данных сделайте расчеты и напишите правильный ответ.</w:t>
            </w:r>
          </w:p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Найдите, на сколько рублей увеличился доход компании в феврале по сравнению с январем по следующим данным:</w:t>
            </w:r>
          </w:p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Компания предоставляет услугу </w:t>
            </w:r>
            <w:proofErr w:type="spellStart"/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видеоконсультаций</w:t>
            </w:r>
            <w:proofErr w:type="spellEnd"/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. В январе было проведено 1500 консультаций по цене 500 рублей за каждую. В феврале, внедрив систему автоматизированного планирования расписания консультантов на основе ИИ, компания смогла увеличить количество консультаций на 20% при сохранении цены.</w:t>
            </w:r>
          </w:p>
        </w:tc>
        <w:tc>
          <w:tcPr>
            <w:tcW w:w="790" w:type="pct"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150,0 тыс. руб.</w:t>
            </w:r>
          </w:p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95E" w:rsidRPr="00160EA7" w:rsidTr="00EA095E">
        <w:trPr>
          <w:trHeight w:val="3544"/>
        </w:trPr>
        <w:tc>
          <w:tcPr>
            <w:tcW w:w="267" w:type="pct"/>
            <w:vMerge w:val="restart"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972" w:type="pct"/>
            <w:vMerge w:val="restart"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1" w:type="pct"/>
          </w:tcPr>
          <w:p w:rsidR="00EA095E" w:rsidRPr="00160EA7" w:rsidRDefault="00EA095E" w:rsidP="00EB5CD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5. Прочитайте текст и установите соответствие.</w:t>
            </w:r>
          </w:p>
          <w:p w:rsidR="00EA095E" w:rsidRPr="00160EA7" w:rsidRDefault="00EA095E" w:rsidP="00EB5CD1">
            <w:pPr>
              <w:pStyle w:val="a6"/>
              <w:widowControl w:val="0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Цифровые услуги – это широкий спектр предложений, основанных на использовании информационных технологий и интернета. Они могут быть разнообразными по своему назначению, формату предоставления и целевой аудитории. Существует несколько подходов к классификации цифровых услуг, каждый из которых акцентирует внимание на разных аспектах. Укажите соответствие </w:t>
            </w:r>
            <w:r w:rsidRPr="00160E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признаков и соответствующих цифровых услуг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20"/>
              <w:gridCol w:w="2620"/>
            </w:tblGrid>
            <w:tr w:rsidR="00EA095E" w:rsidRPr="00160EA7" w:rsidTr="001002CD">
              <w:tc>
                <w:tcPr>
                  <w:tcW w:w="5920" w:type="dxa"/>
                  <w:vAlign w:val="center"/>
                </w:tcPr>
                <w:p w:rsidR="00EA095E" w:rsidRPr="00160EA7" w:rsidRDefault="00EA095E" w:rsidP="00EB5CD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Цифровая услуга</w:t>
                  </w:r>
                </w:p>
              </w:tc>
              <w:tc>
                <w:tcPr>
                  <w:tcW w:w="2620" w:type="dxa"/>
                  <w:vAlign w:val="center"/>
                </w:tcPr>
                <w:p w:rsidR="00EA095E" w:rsidRPr="00160EA7" w:rsidRDefault="00EA095E" w:rsidP="00EB5CD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  <w:t>Признак</w:t>
                  </w:r>
                </w:p>
              </w:tc>
            </w:tr>
            <w:tr w:rsidR="00EA095E" w:rsidRPr="00160EA7" w:rsidTr="001002CD">
              <w:tc>
                <w:tcPr>
                  <w:tcW w:w="5920" w:type="dxa"/>
                </w:tcPr>
                <w:p w:rsidR="00EA095E" w:rsidRPr="00160EA7" w:rsidRDefault="00EA095E" w:rsidP="00EB5C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B2C, 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>B2B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, 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>C2C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, 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>G2C</w:t>
                  </w:r>
                </w:p>
              </w:tc>
              <w:tc>
                <w:tcPr>
                  <w:tcW w:w="2620" w:type="dxa"/>
                </w:tcPr>
                <w:p w:rsidR="00EA095E" w:rsidRPr="00160EA7" w:rsidRDefault="00EA095E" w:rsidP="001002CD">
                  <w:pPr>
                    <w:widowControl w:val="0"/>
                    <w:shd w:val="clear" w:color="auto" w:fill="FFFFFF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 функциональному назначению</w:t>
                  </w:r>
                </w:p>
              </w:tc>
            </w:tr>
            <w:tr w:rsidR="00EA095E" w:rsidRPr="00160EA7" w:rsidTr="001002CD">
              <w:tc>
                <w:tcPr>
                  <w:tcW w:w="5920" w:type="dxa"/>
                </w:tcPr>
                <w:p w:rsidR="00EA095E" w:rsidRPr="00160EA7" w:rsidRDefault="00EA095E" w:rsidP="00EB5CD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textAlignment w:val="baseline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Информационные услуги, транзакционные услуги, коммуникационные услуги, развлекательные услуги, образовательные услуги</w:t>
                  </w:r>
                </w:p>
              </w:tc>
              <w:tc>
                <w:tcPr>
                  <w:tcW w:w="2620" w:type="dxa"/>
                </w:tcPr>
                <w:p w:rsidR="00EA095E" w:rsidRPr="00160EA7" w:rsidRDefault="00EA095E" w:rsidP="001002CD">
                  <w:pPr>
                    <w:widowControl w:val="0"/>
                    <w:shd w:val="clear" w:color="auto" w:fill="FFFFFF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 типу взаимодействия с пользователем</w:t>
                  </w:r>
                </w:p>
              </w:tc>
            </w:tr>
            <w:tr w:rsidR="00EA095E" w:rsidRPr="00160EA7" w:rsidTr="001002CD">
              <w:tc>
                <w:tcPr>
                  <w:tcW w:w="5920" w:type="dxa"/>
                </w:tcPr>
                <w:p w:rsidR="00EA095E" w:rsidRPr="00160EA7" w:rsidRDefault="00EA095E" w:rsidP="00EB5CD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textAlignment w:val="baseline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Бесплатные услуги (</w:t>
                  </w:r>
                  <w:proofErr w:type="spellStart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Freemium</w:t>
                  </w:r>
                  <w:proofErr w:type="spellEnd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), подписка (</w:t>
                  </w:r>
                  <w:proofErr w:type="spellStart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Subscription</w:t>
                  </w:r>
                  <w:proofErr w:type="spellEnd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), платежи за отдельные продукты/услуги (</w:t>
                  </w:r>
                  <w:proofErr w:type="spellStart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Pay-per-use</w:t>
                  </w:r>
                  <w:proofErr w:type="spellEnd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), рекламная модель (</w:t>
                  </w:r>
                  <w:proofErr w:type="spellStart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Ad-supported</w:t>
                  </w:r>
                  <w:proofErr w:type="spellEnd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620" w:type="dxa"/>
                </w:tcPr>
                <w:p w:rsidR="00EA095E" w:rsidRPr="00160EA7" w:rsidRDefault="00EA095E" w:rsidP="001002CD">
                  <w:pPr>
                    <w:pStyle w:val="a6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160EA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 модели монетизации</w:t>
                  </w:r>
                </w:p>
              </w:tc>
            </w:tr>
            <w:tr w:rsidR="00EA095E" w:rsidRPr="00160EA7" w:rsidTr="001002CD">
              <w:tc>
                <w:tcPr>
                  <w:tcW w:w="5920" w:type="dxa"/>
                </w:tcPr>
                <w:p w:rsidR="00EA095E" w:rsidRPr="00160EA7" w:rsidRDefault="00EA095E" w:rsidP="00EB5CD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textAlignment w:val="baseline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Г. </w:t>
                  </w:r>
                  <w:proofErr w:type="spellStart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Веб-приложения</w:t>
                  </w:r>
                  <w:proofErr w:type="spellEnd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, мобильные приложения, </w:t>
                  </w:r>
                  <w:proofErr w:type="spellStart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десктопные</w:t>
                  </w:r>
                  <w:proofErr w:type="spellEnd"/>
                  <w:r w:rsidRPr="00160EA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приложения, смешанные платформы</w:t>
                  </w:r>
                </w:p>
              </w:tc>
              <w:tc>
                <w:tcPr>
                  <w:tcW w:w="2620" w:type="dxa"/>
                </w:tcPr>
                <w:p w:rsidR="00EA095E" w:rsidRPr="00160EA7" w:rsidRDefault="00EA095E" w:rsidP="001002CD">
                  <w:pPr>
                    <w:pStyle w:val="a6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160EA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 платформе предоставления</w:t>
                  </w:r>
                </w:p>
              </w:tc>
            </w:tr>
            <w:tr w:rsidR="00EA095E" w:rsidRPr="00160EA7" w:rsidTr="001002CD">
              <w:tc>
                <w:tcPr>
                  <w:tcW w:w="5920" w:type="dxa"/>
                </w:tcPr>
                <w:p w:rsidR="00EA095E" w:rsidRPr="00160EA7" w:rsidRDefault="00EA095E" w:rsidP="00EB5CD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textAlignment w:val="baseline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620" w:type="dxa"/>
                </w:tcPr>
                <w:p w:rsidR="00EA095E" w:rsidRPr="00160EA7" w:rsidRDefault="00EA095E" w:rsidP="001002CD">
                  <w:pPr>
                    <w:pStyle w:val="a6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По организации</w:t>
                  </w:r>
                </w:p>
              </w:tc>
            </w:tr>
          </w:tbl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</w:tcPr>
          <w:tbl>
            <w:tblPr>
              <w:tblW w:w="1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92"/>
              <w:gridCol w:w="425"/>
              <w:gridCol w:w="425"/>
              <w:gridCol w:w="426"/>
            </w:tblGrid>
            <w:tr w:rsidR="00EA095E" w:rsidRPr="00160EA7" w:rsidTr="006953EF">
              <w:trPr>
                <w:trHeight w:val="323"/>
              </w:trPr>
              <w:tc>
                <w:tcPr>
                  <w:tcW w:w="392" w:type="dxa"/>
                </w:tcPr>
                <w:p w:rsidR="00EA095E" w:rsidRPr="00160EA7" w:rsidRDefault="00EA095E" w:rsidP="006953E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EA095E" w:rsidRPr="00160EA7" w:rsidRDefault="00EA095E" w:rsidP="006953E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EA095E" w:rsidRPr="00160EA7" w:rsidRDefault="00EA095E" w:rsidP="006953E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6" w:type="dxa"/>
                </w:tcPr>
                <w:p w:rsidR="00EA095E" w:rsidRPr="00160EA7" w:rsidRDefault="00EA095E" w:rsidP="006953E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EA095E" w:rsidRPr="00160EA7" w:rsidTr="006953EF">
              <w:tc>
                <w:tcPr>
                  <w:tcW w:w="392" w:type="dxa"/>
                </w:tcPr>
                <w:p w:rsidR="00EA095E" w:rsidRPr="00160EA7" w:rsidRDefault="00EA095E" w:rsidP="006953E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EA095E" w:rsidRPr="00160EA7" w:rsidRDefault="00EA095E" w:rsidP="006953E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EA095E" w:rsidRPr="00160EA7" w:rsidRDefault="00EA095E" w:rsidP="006953E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6" w:type="dxa"/>
                </w:tcPr>
                <w:p w:rsidR="00EA095E" w:rsidRPr="00160EA7" w:rsidRDefault="00EA095E" w:rsidP="006953E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95E" w:rsidRPr="00160EA7" w:rsidTr="00EA095E">
        <w:tc>
          <w:tcPr>
            <w:tcW w:w="267" w:type="pct"/>
            <w:vMerge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2" w:type="pct"/>
            <w:vMerge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pct"/>
          </w:tcPr>
          <w:p w:rsidR="00EA095E" w:rsidRPr="00160EA7" w:rsidRDefault="00EA095E" w:rsidP="003B005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6. Прочитайте текст и установите соответствие. </w:t>
            </w:r>
          </w:p>
          <w:p w:rsidR="00EA095E" w:rsidRPr="00160EA7" w:rsidRDefault="00EA095E" w:rsidP="003B005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Цифровые технологии и их возможное применение в сфере управления персоналом в сервисной компании могут разнообразные технологии, это позволяет повысить общую эффективность, своевременно выявлять и решать возникающие проблемы, и создавать более комфортные и мотивирующие условия для сотрудников. Сравните технологию и ее возможное применение в сфере управления персоналом в сервисной компании. К каждой позиции из левого столбца подберите соответствующую позицию из правого столбца: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280"/>
              <w:gridCol w:w="3260"/>
            </w:tblGrid>
            <w:tr w:rsidR="00EA095E" w:rsidRPr="00160EA7" w:rsidTr="003B005A">
              <w:tc>
                <w:tcPr>
                  <w:tcW w:w="5280" w:type="dxa"/>
                  <w:tcBorders>
                    <w:bottom w:val="single" w:sz="4" w:space="0" w:color="auto"/>
                  </w:tcBorders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Применение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Технология</w:t>
                  </w:r>
                </w:p>
              </w:tc>
            </w:tr>
            <w:tr w:rsidR="00EA095E" w:rsidRPr="00160EA7" w:rsidTr="003B005A">
              <w:tc>
                <w:tcPr>
                  <w:tcW w:w="5280" w:type="dxa"/>
                  <w:tcBorders>
                    <w:top w:val="single" w:sz="4" w:space="0" w:color="auto"/>
                  </w:tcBorders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Автоматизация процесса подбора и оценки кандидатов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Анализ больших данных</w:t>
                  </w:r>
                </w:p>
              </w:tc>
            </w:tr>
            <w:tr w:rsidR="00EA095E" w:rsidRPr="00160EA7" w:rsidTr="003B005A">
              <w:tc>
                <w:tcPr>
                  <w:tcW w:w="5280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Прогнозирование оттока персонала и выявление проблемных зон</w:t>
                  </w:r>
                </w:p>
              </w:tc>
              <w:tc>
                <w:tcPr>
                  <w:tcW w:w="3260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Искусственный интеллект</w:t>
                  </w:r>
                </w:p>
              </w:tc>
            </w:tr>
            <w:tr w:rsidR="00EA095E" w:rsidRPr="00160EA7" w:rsidTr="003B005A">
              <w:tc>
                <w:tcPr>
                  <w:tcW w:w="5280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Проверка подлинности дипломов и сертификатов сотрудников</w:t>
                  </w:r>
                </w:p>
              </w:tc>
              <w:tc>
                <w:tcPr>
                  <w:tcW w:w="3260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proofErr w:type="spellStart"/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Блокчейн</w:t>
                  </w:r>
                  <w:proofErr w:type="spellEnd"/>
                </w:p>
              </w:tc>
            </w:tr>
            <w:tr w:rsidR="00EA095E" w:rsidRPr="00160EA7" w:rsidTr="003B005A">
              <w:tc>
                <w:tcPr>
                  <w:tcW w:w="5280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Технологии виртуальной и дополненной реальности</w:t>
                  </w:r>
                </w:p>
              </w:tc>
            </w:tr>
          </w:tbl>
          <w:p w:rsidR="00EA095E" w:rsidRPr="00160EA7" w:rsidRDefault="00EA095E" w:rsidP="003B005A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</w:tcPr>
          <w:tbl>
            <w:tblPr>
              <w:tblStyle w:val="a3"/>
              <w:tblW w:w="1101" w:type="dxa"/>
              <w:tblLayout w:type="fixed"/>
              <w:tblLook w:val="04A0"/>
            </w:tblPr>
            <w:tblGrid>
              <w:gridCol w:w="392"/>
              <w:gridCol w:w="343"/>
              <w:gridCol w:w="366"/>
            </w:tblGrid>
            <w:tr w:rsidR="00EA095E" w:rsidRPr="00160EA7" w:rsidTr="003B005A">
              <w:tc>
                <w:tcPr>
                  <w:tcW w:w="392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</w:t>
                  </w:r>
                </w:p>
              </w:tc>
            </w:tr>
            <w:tr w:rsidR="00EA095E" w:rsidRPr="00160EA7" w:rsidTr="003B005A">
              <w:tc>
                <w:tcPr>
                  <w:tcW w:w="392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3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EA095E" w:rsidRPr="00160EA7" w:rsidRDefault="00EA095E" w:rsidP="003B005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EA095E" w:rsidRPr="00160EA7" w:rsidRDefault="00EA095E" w:rsidP="003B005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95E" w:rsidRPr="00160EA7" w:rsidTr="00EA095E">
        <w:tc>
          <w:tcPr>
            <w:tcW w:w="267" w:type="pct"/>
            <w:vMerge/>
            <w:vAlign w:val="center"/>
            <w:hideMark/>
          </w:tcPr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972" w:type="pct"/>
            <w:vMerge w:val="restart"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1" w:type="pct"/>
          </w:tcPr>
          <w:p w:rsidR="00EA095E" w:rsidRPr="00160EA7" w:rsidRDefault="00EA095E" w:rsidP="00EE453B">
            <w:pPr>
              <w:pStyle w:val="a6"/>
              <w:shd w:val="clear" w:color="auto" w:fill="FFFFFF" w:themeFill="background1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>Прочитайте текст, выберите все правильные варианты.</w:t>
            </w:r>
          </w:p>
          <w:p w:rsidR="00EA095E" w:rsidRPr="00160EA7" w:rsidRDefault="00EA095E" w:rsidP="00EE453B">
            <w:pPr>
              <w:pStyle w:val="a6"/>
              <w:shd w:val="clear" w:color="auto" w:fill="FFFFFF" w:themeFill="background1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Style w:val="alice-fade-word"/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Информационно-коммуникационные технологии (ИКТ) – это широкая область цифровых технологий, объединяющая средства и методы обработки, передачи и хранения информации в электронном виде.</w:t>
            </w:r>
          </w:p>
          <w:p w:rsidR="00EA095E" w:rsidRPr="00160EA7" w:rsidRDefault="00EA095E" w:rsidP="00EE453B">
            <w:pPr>
              <w:pStyle w:val="a6"/>
              <w:shd w:val="clear" w:color="auto" w:fill="FFFFFF" w:themeFill="background1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Выберите, какие информационно-коммуникационные технологии наиболее востребованы в сфере услуг. </w:t>
            </w:r>
          </w:p>
          <w:p w:rsidR="00EA095E" w:rsidRPr="00160EA7" w:rsidRDefault="00EA095E" w:rsidP="00EE453B">
            <w:pPr>
              <w:pStyle w:val="a6"/>
              <w:shd w:val="clear" w:color="auto" w:fill="FFFFFF" w:themeFill="background1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>А. CRM-системы;</w:t>
            </w:r>
          </w:p>
          <w:p w:rsidR="00EA095E" w:rsidRPr="00160EA7" w:rsidRDefault="00EA095E" w:rsidP="00EE453B">
            <w:pPr>
              <w:pStyle w:val="a6"/>
              <w:shd w:val="clear" w:color="auto" w:fill="FFFFFF" w:themeFill="background1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>Б. ERP-системы;</w:t>
            </w:r>
          </w:p>
          <w:p w:rsidR="00EA095E" w:rsidRPr="00160EA7" w:rsidRDefault="00EA095E" w:rsidP="00EE453B">
            <w:pPr>
              <w:pStyle w:val="a6"/>
              <w:shd w:val="clear" w:color="auto" w:fill="FFFFFF" w:themeFill="background1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>В. Системы электронного документооборота;</w:t>
            </w:r>
          </w:p>
          <w:p w:rsidR="00EA095E" w:rsidRPr="00160EA7" w:rsidRDefault="00EA095E" w:rsidP="00EE453B">
            <w:pPr>
              <w:pStyle w:val="a6"/>
              <w:shd w:val="clear" w:color="auto" w:fill="FFFFFF" w:themeFill="background1"/>
              <w:spacing w:after="0" w:line="240" w:lineRule="auto"/>
              <w:ind w:left="0"/>
              <w:contextualSpacing w:val="0"/>
              <w:rPr>
                <w:rFonts w:eastAsia="Arial Unicode MS"/>
                <w:sz w:val="28"/>
                <w:szCs w:val="28"/>
              </w:rPr>
            </w:pPr>
            <w:r w:rsidRPr="00160EA7">
              <w:rPr>
                <w:rFonts w:ascii="Times New Roman" w:eastAsia="Arial Unicode MS" w:hAnsi="Times New Roman" w:cs="Times New Roman"/>
                <w:sz w:val="28"/>
                <w:szCs w:val="28"/>
              </w:rPr>
              <w:t>Г. Традиционная почтовая корреспонденция.</w:t>
            </w:r>
          </w:p>
        </w:tc>
        <w:tc>
          <w:tcPr>
            <w:tcW w:w="790" w:type="pct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66"/>
            </w:tblGrid>
            <w:tr w:rsidR="00EA095E" w:rsidRPr="00160EA7" w:rsidTr="006953EF">
              <w:tc>
                <w:tcPr>
                  <w:tcW w:w="392" w:type="dxa"/>
                </w:tcPr>
                <w:p w:rsidR="00EA095E" w:rsidRPr="00160EA7" w:rsidRDefault="00EA095E" w:rsidP="00EB5C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</w:tcPr>
                <w:p w:rsidR="00EA095E" w:rsidRPr="00160EA7" w:rsidRDefault="00EA095E" w:rsidP="00EB5C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</w:tcPr>
                <w:p w:rsidR="00EA095E" w:rsidRPr="00160EA7" w:rsidRDefault="00EA095E" w:rsidP="00EB5C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95E" w:rsidRPr="00160EA7" w:rsidTr="00EA095E">
        <w:tc>
          <w:tcPr>
            <w:tcW w:w="267" w:type="pct"/>
            <w:vMerge/>
            <w:vAlign w:val="center"/>
            <w:hideMark/>
          </w:tcPr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972" w:type="pct"/>
            <w:vMerge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1" w:type="pct"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>8. Прочитайте текст и установите последовательность.</w:t>
            </w:r>
          </w:p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Этапы внедрения новых технологий в сервисной деятельности необходимо соблюдать для обеспечения надёжности, безопасности данных, соответствия специфике и ресурсам компании, а также для адаптации к её требованиям и разработки индивидуальных решений. </w:t>
            </w:r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>Установите правильную последовательность этапов внедрения новых технологий в сервисной деятельности.</w:t>
            </w:r>
          </w:p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>А. оценка существующих технологий;</w:t>
            </w:r>
          </w:p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>Б. определение потребностей клиентов;</w:t>
            </w:r>
          </w:p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>В. разработка стратегии внедрения</w:t>
            </w:r>
            <w:proofErr w:type="gramStart"/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>Г. обучение персонала;</w:t>
            </w:r>
          </w:p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>Д. анализ результатов внедрения.</w:t>
            </w:r>
          </w:p>
        </w:tc>
        <w:tc>
          <w:tcPr>
            <w:tcW w:w="790" w:type="pct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425"/>
              <w:gridCol w:w="425"/>
              <w:gridCol w:w="344"/>
              <w:gridCol w:w="367"/>
            </w:tblGrid>
            <w:tr w:rsidR="00EA095E" w:rsidRPr="00160EA7" w:rsidTr="006953EF">
              <w:trPr>
                <w:trHeight w:val="58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95E" w:rsidRPr="00160EA7" w:rsidRDefault="00EA095E" w:rsidP="00EB5C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95E" w:rsidRPr="00160EA7" w:rsidTr="00EA095E">
        <w:trPr>
          <w:trHeight w:val="1115"/>
        </w:trPr>
        <w:tc>
          <w:tcPr>
            <w:tcW w:w="267" w:type="pct"/>
            <w:vMerge/>
            <w:vAlign w:val="center"/>
            <w:hideMark/>
          </w:tcPr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972" w:type="pct"/>
            <w:vMerge w:val="restart"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1" w:type="pct"/>
          </w:tcPr>
          <w:p w:rsidR="00EA095E" w:rsidRPr="00160EA7" w:rsidRDefault="00EA095E" w:rsidP="005F2F5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9. Прочитайте текст и установите последовательность.</w:t>
            </w:r>
          </w:p>
          <w:p w:rsidR="00EA095E" w:rsidRPr="00160EA7" w:rsidRDefault="00EA095E" w:rsidP="005F2F57">
            <w:pPr>
              <w:pStyle w:val="a6"/>
              <w:widowControl w:val="0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сервисной деятельностью в условиях новой технологической парадигмы предполагает рассмотрение бизнес-процессов через призму предоставления услуг, где каждый процесс или его элемент выступает как отдельный сервис с определенный ценностью и метриками качества.</w:t>
            </w:r>
            <w:proofErr w:type="gramEnd"/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этого вам необходимо выполнить определенную последовательность действий:</w:t>
            </w:r>
          </w:p>
          <w:p w:rsidR="00EA095E" w:rsidRPr="00160EA7" w:rsidRDefault="00EA095E" w:rsidP="005F2F57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 определение ключевых показателей эффективности;</w:t>
            </w:r>
          </w:p>
          <w:p w:rsidR="00EA095E" w:rsidRPr="00160EA7" w:rsidRDefault="00EA095E" w:rsidP="005F2F57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Б. анализ существующих бизнес-процессов;</w:t>
            </w:r>
          </w:p>
          <w:p w:rsidR="00EA095E" w:rsidRPr="00160EA7" w:rsidRDefault="00EA095E" w:rsidP="005F2F57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В. разработка и внедрение специализированных инструментов; </w:t>
            </w:r>
          </w:p>
          <w:p w:rsidR="00EA095E" w:rsidRPr="00160EA7" w:rsidRDefault="00EA095E" w:rsidP="005F2F57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 организация эффективности сбора и анализа обратной связи от клиентов.</w:t>
            </w:r>
          </w:p>
        </w:tc>
        <w:tc>
          <w:tcPr>
            <w:tcW w:w="790" w:type="pct"/>
          </w:tcPr>
          <w:tbl>
            <w:tblPr>
              <w:tblStyle w:val="a3"/>
              <w:tblW w:w="1445" w:type="dxa"/>
              <w:tblLayout w:type="fixed"/>
              <w:tblLook w:val="04A0"/>
            </w:tblPr>
            <w:tblGrid>
              <w:gridCol w:w="392"/>
              <w:gridCol w:w="343"/>
              <w:gridCol w:w="366"/>
              <w:gridCol w:w="344"/>
            </w:tblGrid>
            <w:tr w:rsidR="00EA095E" w:rsidRPr="00160EA7" w:rsidTr="005F2F57">
              <w:trPr>
                <w:trHeight w:val="58"/>
              </w:trPr>
              <w:tc>
                <w:tcPr>
                  <w:tcW w:w="392" w:type="dxa"/>
                  <w:vAlign w:val="center"/>
                </w:tcPr>
                <w:p w:rsidR="00EA095E" w:rsidRPr="00160EA7" w:rsidRDefault="00EA095E" w:rsidP="005F2F5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vAlign w:val="center"/>
                </w:tcPr>
                <w:p w:rsidR="00EA095E" w:rsidRPr="00160EA7" w:rsidRDefault="00EA095E" w:rsidP="005F2F5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66" w:type="dxa"/>
                  <w:vAlign w:val="center"/>
                </w:tcPr>
                <w:p w:rsidR="00EA095E" w:rsidRPr="00160EA7" w:rsidRDefault="00EA095E" w:rsidP="005F2F5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vAlign w:val="center"/>
                </w:tcPr>
                <w:p w:rsidR="00EA095E" w:rsidRPr="00160EA7" w:rsidRDefault="00EA095E" w:rsidP="005F2F5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EA095E" w:rsidRPr="00160EA7" w:rsidRDefault="00EA095E" w:rsidP="005F2F5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95E" w:rsidRPr="00160EA7" w:rsidTr="00EA095E">
        <w:trPr>
          <w:trHeight w:val="407"/>
        </w:trPr>
        <w:tc>
          <w:tcPr>
            <w:tcW w:w="267" w:type="pct"/>
            <w:vMerge/>
            <w:vAlign w:val="center"/>
            <w:hideMark/>
          </w:tcPr>
          <w:p w:rsidR="00EA095E" w:rsidRPr="00160EA7" w:rsidRDefault="00EA095E" w:rsidP="00EB5CD1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972" w:type="pct"/>
            <w:vMerge/>
            <w:hideMark/>
          </w:tcPr>
          <w:p w:rsidR="00EA095E" w:rsidRPr="00160EA7" w:rsidRDefault="00EA095E" w:rsidP="00EB5CD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1" w:type="pct"/>
          </w:tcPr>
          <w:p w:rsidR="00EA095E" w:rsidRPr="00160EA7" w:rsidRDefault="00EA095E" w:rsidP="005F2F57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7">
              <w:rPr>
                <w:rFonts w:ascii="Times New Roman" w:eastAsia="Calibri" w:hAnsi="Times New Roman" w:cs="Times New Roman"/>
                <w:sz w:val="28"/>
                <w:szCs w:val="28"/>
              </w:rPr>
              <w:t>10. Прочитайте текст и установите соответствие.</w:t>
            </w:r>
          </w:p>
          <w:p w:rsidR="00EA095E" w:rsidRPr="00160EA7" w:rsidRDefault="00EA095E" w:rsidP="005F2F57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60EA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Важность использования современных сервисных моделей и экосистем заключается в оптимизации процессов, повышении эффективности работы, сборе и анализе данных о покупателях, развитии маркетинга и увеличении прибыли. Экосистемы позволяют компаниям закрывать различные потребности клиентов, предоставлять удобные сервисы и повышать лояльность пользователей. 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Сопоставьте термины с их определениями.</w:t>
            </w:r>
            <w:r w:rsidRPr="00160EA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0EA7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131"/>
              <w:gridCol w:w="2126"/>
            </w:tblGrid>
            <w:tr w:rsidR="00EA095E" w:rsidRPr="00160EA7" w:rsidTr="005F2F57"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Термин</w:t>
                  </w:r>
                </w:p>
              </w:tc>
            </w:tr>
            <w:tr w:rsidR="00EA095E" w:rsidRPr="00160EA7" w:rsidTr="005F2F57"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Комплекс взаимосвязанных организаций и участников, которые взаимодействуют для создания ценности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Цифровая платформа</w:t>
                  </w:r>
                </w:p>
              </w:tc>
            </w:tr>
            <w:tr w:rsidR="00EA095E" w:rsidRPr="00160EA7" w:rsidTr="005F2F57"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Способ предоставления услуг, основанный на использовании цифровых технологий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Экосистема</w:t>
                  </w:r>
                </w:p>
              </w:tc>
            </w:tr>
            <w:tr w:rsidR="00EA095E" w:rsidRPr="00160EA7" w:rsidTr="005F2F57"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Система, обеспечивающая взаимодействие пользователей и поставщиков услуг через цифровые каналы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Сервисная модель</w:t>
                  </w:r>
                </w:p>
              </w:tc>
            </w:tr>
            <w:tr w:rsidR="00EA095E" w:rsidRPr="00160EA7" w:rsidTr="005F2F57"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Обширные объемы данных, которые могут быть проанализированы для выявления закономерностей и трендов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Пользовательский опыт</w:t>
                  </w:r>
                </w:p>
              </w:tc>
            </w:tr>
            <w:tr w:rsidR="00EA095E" w:rsidRPr="00160EA7" w:rsidTr="005F2F57"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</w:t>
                  </w:r>
                  <w:proofErr w:type="spellStart"/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Биг</w:t>
                  </w:r>
                  <w:proofErr w:type="spellEnd"/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дата</w:t>
                  </w:r>
                </w:p>
              </w:tc>
            </w:tr>
          </w:tbl>
          <w:p w:rsidR="00EA095E" w:rsidRPr="00160EA7" w:rsidRDefault="00EA095E" w:rsidP="005F2F5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66"/>
              <w:gridCol w:w="344"/>
            </w:tblGrid>
            <w:tr w:rsidR="00EA095E" w:rsidRPr="00160EA7" w:rsidTr="005F2F57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EA095E" w:rsidRPr="00160EA7" w:rsidTr="005F2F57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95E" w:rsidRPr="00160EA7" w:rsidRDefault="00EA095E" w:rsidP="005F2F5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0E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EA095E" w:rsidRPr="00160EA7" w:rsidRDefault="00EA095E" w:rsidP="005F2F5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A5CD5" w:rsidRPr="00EB5CD1" w:rsidRDefault="001A5CD5" w:rsidP="00EB5CD1">
      <w:pPr>
        <w:widowControl w:val="0"/>
        <w:rPr>
          <w:rFonts w:ascii="Times New Roman" w:hAnsi="Times New Roman" w:cs="Times New Roman"/>
        </w:rPr>
      </w:pPr>
    </w:p>
    <w:p w:rsidR="00B53781" w:rsidRPr="00EB5CD1" w:rsidRDefault="00B53781" w:rsidP="00EB5CD1">
      <w:pPr>
        <w:widowControl w:val="0"/>
        <w:rPr>
          <w:rFonts w:ascii="Times New Roman" w:hAnsi="Times New Roman" w:cs="Times New Roman"/>
        </w:rPr>
      </w:pPr>
    </w:p>
    <w:sectPr w:rsidR="00B53781" w:rsidRPr="00EB5CD1" w:rsidSect="007D19A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1A5CD5"/>
    <w:rsid w:val="00016F8E"/>
    <w:rsid w:val="00081968"/>
    <w:rsid w:val="001002CD"/>
    <w:rsid w:val="001042AB"/>
    <w:rsid w:val="00160EA7"/>
    <w:rsid w:val="001A5CD5"/>
    <w:rsid w:val="001E5FED"/>
    <w:rsid w:val="00216263"/>
    <w:rsid w:val="00254B7B"/>
    <w:rsid w:val="002C0591"/>
    <w:rsid w:val="00324632"/>
    <w:rsid w:val="004651F2"/>
    <w:rsid w:val="00494664"/>
    <w:rsid w:val="006277B1"/>
    <w:rsid w:val="00676C4D"/>
    <w:rsid w:val="006953EF"/>
    <w:rsid w:val="007D19AB"/>
    <w:rsid w:val="007D76F1"/>
    <w:rsid w:val="007F3183"/>
    <w:rsid w:val="008122E4"/>
    <w:rsid w:val="00862860"/>
    <w:rsid w:val="008E4E20"/>
    <w:rsid w:val="00927230"/>
    <w:rsid w:val="00964C83"/>
    <w:rsid w:val="009E45CC"/>
    <w:rsid w:val="00A10388"/>
    <w:rsid w:val="00A306F7"/>
    <w:rsid w:val="00A90067"/>
    <w:rsid w:val="00AE146A"/>
    <w:rsid w:val="00B140A5"/>
    <w:rsid w:val="00B53781"/>
    <w:rsid w:val="00BF4690"/>
    <w:rsid w:val="00C52F70"/>
    <w:rsid w:val="00CA0777"/>
    <w:rsid w:val="00CD7D1E"/>
    <w:rsid w:val="00D7774A"/>
    <w:rsid w:val="00E860AB"/>
    <w:rsid w:val="00EA095E"/>
    <w:rsid w:val="00EB5CD1"/>
    <w:rsid w:val="00ED3C3F"/>
    <w:rsid w:val="00EE453B"/>
    <w:rsid w:val="00F34689"/>
    <w:rsid w:val="00F5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CD5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A5CD5"/>
    <w:pPr>
      <w:keepNext/>
      <w:keepLines/>
      <w:widowControl w:val="0"/>
      <w:tabs>
        <w:tab w:val="right" w:pos="9072"/>
      </w:tabs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hd w:val="clear" w:color="auto" w:fill="FFFFFF"/>
    </w:rPr>
  </w:style>
  <w:style w:type="paragraph" w:styleId="4">
    <w:name w:val="heading 4"/>
    <w:basedOn w:val="a"/>
    <w:next w:val="a"/>
    <w:link w:val="40"/>
    <w:uiPriority w:val="9"/>
    <w:unhideWhenUsed/>
    <w:qFormat/>
    <w:rsid w:val="00862860"/>
    <w:pPr>
      <w:keepNext/>
      <w:keepLines/>
      <w:widowControl w:val="0"/>
      <w:tabs>
        <w:tab w:val="right" w:pos="9072"/>
      </w:tabs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5CD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3">
    <w:name w:val="Table Grid"/>
    <w:basedOn w:val="a1"/>
    <w:uiPriority w:val="59"/>
    <w:rsid w:val="001A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5CD5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1A5CD5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link w:val="1"/>
    <w:uiPriority w:val="99"/>
    <w:unhideWhenUsed/>
    <w:qFormat/>
    <w:rsid w:val="001A5CD5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1A5CD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1A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6"/>
    <w:link w:val="11"/>
    <w:qFormat/>
    <w:rsid w:val="001A5CD5"/>
    <w:pPr>
      <w:widowControl w:val="0"/>
      <w:tabs>
        <w:tab w:val="right" w:pos="9072"/>
      </w:tabs>
      <w:spacing w:after="0" w:line="240" w:lineRule="auto"/>
      <w:ind w:left="0"/>
      <w:contextualSpacing w:val="0"/>
      <w:jc w:val="both"/>
    </w:pPr>
    <w:rPr>
      <w:rFonts w:ascii="Times New Roman" w:eastAsia="Calibri" w:hAnsi="Times New Roman" w:cs="Times New Roman"/>
      <w:shd w:val="clear" w:color="auto" w:fill="FFFFFF"/>
      <w:lang w:eastAsia="ru-RU"/>
    </w:rPr>
  </w:style>
  <w:style w:type="character" w:customStyle="1" w:styleId="1">
    <w:name w:val="Обычный (веб) Знак1"/>
    <w:aliases w:val="Обычный (веб) Знак Знак1,Обычный (веб) Знак Знак Знак"/>
    <w:basedOn w:val="a0"/>
    <w:link w:val="a6"/>
    <w:uiPriority w:val="99"/>
    <w:rsid w:val="001A5CD5"/>
  </w:style>
  <w:style w:type="character" w:customStyle="1" w:styleId="11">
    <w:name w:val="Стиль1 Знак"/>
    <w:basedOn w:val="1"/>
    <w:link w:val="10"/>
    <w:rsid w:val="001A5CD5"/>
    <w:rPr>
      <w:rFonts w:ascii="Times New Roman" w:eastAsia="Calibri" w:hAnsi="Times New Roman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286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lice-fade-word">
    <w:name w:val="alice-fade-word"/>
    <w:basedOn w:val="a0"/>
    <w:rsid w:val="006953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7</cp:revision>
  <dcterms:created xsi:type="dcterms:W3CDTF">2025-03-11T08:05:00Z</dcterms:created>
  <dcterms:modified xsi:type="dcterms:W3CDTF">2025-09-04T05:53:00Z</dcterms:modified>
</cp:coreProperties>
</file>